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7DA9" w:rsidRDefault="008F7DA9" w:rsidP="008F7D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</w:pPr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PREPORUKA: ICT-AAC APLIKACIJE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</w:pPr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 za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poticanje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predčitalačkih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predmatematičkih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jezičnih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vještina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kod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djece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predškolske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lang w:val="en-US"/>
          <w14:ligatures w14:val="none"/>
        </w:rPr>
        <w:t>dobi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Ljetni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mjeseci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idealno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vrijeme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da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roditelji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kroz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igru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druženje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svakodnevne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situacije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pomognu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djetetu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da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samouvjereno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zakorači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u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školski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svijet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Nema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potrebe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za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školom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„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silu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“ –</w:t>
      </w:r>
      <w:proofErr w:type="gram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dovoljno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je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poticati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razgovor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čitanje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slikovnica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igru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riječima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brojanje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stepenica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slaganje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puzzli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ili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zapisivanje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liste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za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trgovinu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Ili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recepata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Ili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tajni</w:t>
      </w:r>
      <w:proofErr w:type="spellEnd"/>
      <w:proofErr w:type="gram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….U</w:t>
      </w:r>
      <w:proofErr w:type="gram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svemu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tome,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osim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vaše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mašte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dragocjeni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saveznik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mogu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biti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ICT-AAC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aplikacije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besplatne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prilagođene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razvijene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od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strane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stručnjaka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s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ciljem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podrške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neurotipičnoj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 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s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teškoćama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Aplikacije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potiču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razvoj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temeljnih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vještina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važnih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za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školsku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spremnost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uključujući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fonološku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svjesnost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jezično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razumijevanje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proširenje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vokabulara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grafomotoriku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pažnju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ranu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pismenost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Roditeljska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podrška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osmijeh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zajednički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provedeno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vrijeme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zapravo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ono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najbitnije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što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vašem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djetetu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daje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sigurnost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– 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aplikacije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samo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jedan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od alata koji to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iskustvo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čini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još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bogatijim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Zato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vam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u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nastavku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donosimo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popis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korisnih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aplikacija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po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područjima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koje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njihova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upotreba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potiče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Fonološka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svjesnost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početno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čitanje</w:t>
      </w:r>
      <w:proofErr w:type="spellEnd"/>
    </w:p>
    <w:p w:rsidR="008F7DA9" w:rsidRPr="008F7DA9" w:rsidRDefault="008F7DA9" w:rsidP="008F7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Glaskalica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Aplikacija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razvija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fonološku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svjesnost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posebno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glasovno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raščlanjivanje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spajanje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uče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prepoznati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izdvajati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glasove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u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riječima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što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je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važan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preduvjet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čitanja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5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https://www.ict-aac.hr/hr/aplikacije/edukativne-aplikacije/item/105-glaskalica</w:t>
        </w:r>
      </w:hyperlink>
    </w:p>
    <w:p w:rsidR="008F7DA9" w:rsidRPr="008F7DA9" w:rsidRDefault="008F7DA9" w:rsidP="008F7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Mala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glaskalica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Jednostavnija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verzija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Glaskalice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prilagođena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mlađoj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ili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s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teškoćama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u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razvoju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Fokusira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se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izdvajanje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početnih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glasova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slaganje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riječi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6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https://www.ict-aac.hr/hr/aplikacije/edukativne-aplikacije/item/197-mala-glaskalica</w:t>
        </w:r>
      </w:hyperlink>
    </w:p>
    <w:p w:rsidR="008F7DA9" w:rsidRPr="008F7DA9" w:rsidRDefault="008F7DA9" w:rsidP="008F7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Slovarica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Pomaže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u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prepoznavanju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učenju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glasova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slova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vizualnu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auditivnu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podršku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kroz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bogate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motivirajuće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ilustracije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7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https://www.ict-aac.hr/hr/aplikacije/edukativne-aplikacije/item/86-slovarica</w:t>
        </w:r>
      </w:hyperlink>
    </w:p>
    <w:p w:rsidR="008F7DA9" w:rsidRPr="008F7DA9" w:rsidRDefault="008F7DA9" w:rsidP="008F7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Čiribu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čiriglas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lastRenderedPageBreak/>
        <w:t>Zabavna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interaktivna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aplikacija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za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vježbanje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glasovne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analize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sinteze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kroz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“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magične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”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igre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omogućuju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da „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razbiju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čaroliju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riječi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“.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8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https://www.ict-aac.hr/hr/aplikacije/edukativne-aplikacije/item/183-ciribu-ciriglas</w:t>
        </w:r>
      </w:hyperlink>
    </w:p>
    <w:p w:rsidR="008F7DA9" w:rsidRPr="008F7DA9" w:rsidRDefault="008F7DA9" w:rsidP="008F7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Učimo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čitati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Aplikacija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podržava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početno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čitanje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kroz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igre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prepoznavanja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riječi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slaganja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slova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razumijevanja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pročitanog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Pogodna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za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prijelaz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vrtića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u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školu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9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https://www.ict-aac.hr/hr/aplikacije/edukativne-aplikacije/item/93-ucimo-citati</w:t>
        </w:r>
      </w:hyperlink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Jezični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razvoj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razumijevanje</w:t>
      </w:r>
      <w:proofErr w:type="spellEnd"/>
    </w:p>
    <w:p w:rsidR="008F7DA9" w:rsidRPr="008F7DA9" w:rsidRDefault="008F7DA9" w:rsidP="008F7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Pamtilica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Razvija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auditivnu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pažnju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kratkoročno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pamćenje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kroz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igre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slušanja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ponavljanja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nizova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riječi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zvukova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rečenica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10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https://www.ict-aac.hr/hr/aplikacije/edukativne-aplikacije/item/182-pamtilica</w:t>
        </w:r>
      </w:hyperlink>
    </w:p>
    <w:p w:rsidR="008F7DA9" w:rsidRPr="008F7DA9" w:rsidRDefault="008F7DA9" w:rsidP="008F7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Učimo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prijedloge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Potiče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razumijevanje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prostorne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orijentacije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uporabu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prijedloga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(u,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ispod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pored…)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što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je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iznimno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važno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za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uspješno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praćenje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uputa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školsku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pismenost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11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https://www.ict-aac.hr/hr/aplikacije/edukativne-aplikacije/item/91-ucimo-prijedloge</w:t>
        </w:r>
      </w:hyperlink>
    </w:p>
    <w:p w:rsidR="008F7DA9" w:rsidRPr="008F7DA9" w:rsidRDefault="008F7DA9" w:rsidP="008F7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Jezična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gradilica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Aplikacija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potiče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razvoj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rečenica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slaganje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riječi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u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pravilnom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redoslijedu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širenje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jezičnog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izraza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kroz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slikovno-jezične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zadatke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12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https://www.ict-aac.hr/hr/aplikacije/edukativne-aplikacije/item/190-jezicna-gradilica</w:t>
        </w:r>
      </w:hyperlink>
    </w:p>
    <w:p w:rsidR="008F7DA9" w:rsidRPr="008F7DA9" w:rsidRDefault="008F7DA9" w:rsidP="008F7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Učimo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riječi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Bogata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baza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pojmova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podijeljena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u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kategorije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(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voće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povrće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odjeća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životinje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…)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širi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dječji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rječnik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povezuje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slike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zvukovima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riječima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</w:pPr>
      <w:hyperlink r:id="rId13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https://www.ict-aac.hr/hr/aplikacije/edukativne-aplikacije/item/90-ucimo-rijeci</w:t>
        </w:r>
      </w:hyperlink>
    </w:p>
    <w:p w:rsidR="00446ACF" w:rsidRPr="008F7DA9" w:rsidRDefault="00446ACF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lastRenderedPageBreak/>
        <w:t>Grafomotorika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pismenost</w:t>
      </w:r>
      <w:proofErr w:type="spellEnd"/>
    </w:p>
    <w:p w:rsidR="008F7DA9" w:rsidRPr="008F7DA9" w:rsidRDefault="008F7DA9" w:rsidP="008F7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Pisalica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fr-FR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Razvija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grafomotoričke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vještine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koordinaciju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oko-ruka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kroz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vježbe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iscrtavanja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linija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oblika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slova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>Pomaže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>djeci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 xml:space="preserve"> u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>pripremi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>za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>pisanje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fr-FR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fr-FR"/>
          <w14:ligatures w14:val="none"/>
        </w:rPr>
      </w:pPr>
      <w:hyperlink r:id="rId14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fr-FR"/>
            <w14:ligatures w14:val="none"/>
          </w:rPr>
          <w:t>https://www.ict-aac.hr/hr/aplikacije/edukativne-aplikacije/item/196-pisalica</w:t>
        </w:r>
      </w:hyperlink>
    </w:p>
    <w:p w:rsidR="008F7DA9" w:rsidRPr="008F7DA9" w:rsidRDefault="008F7DA9" w:rsidP="008F7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Učimo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slogove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Omogućuje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da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uče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prepoznavati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slušati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pisati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slova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abecede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potičući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vizualno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auditivno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motoričko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pamćenje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15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https://www.ict-aac.hr/hr/aplikacije/edukativne-aplikacije/item/92-ucimo-slogove</w:t>
        </w:r>
      </w:hyperlink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Predmatematičke</w:t>
      </w:r>
      <w:proofErr w:type="spellEnd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val="en-US"/>
          <w14:ligatures w14:val="none"/>
        </w:rPr>
        <w:t>vještine</w:t>
      </w:r>
      <w:proofErr w:type="spellEnd"/>
    </w:p>
    <w:p w:rsidR="008F7DA9" w:rsidRPr="008F7DA9" w:rsidRDefault="008F7DA9" w:rsidP="008F7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Domino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brojalica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Potiče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brojanje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uspoređivanje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količina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povezivanje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brojeva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s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količinama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.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Idealan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uvod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u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osnovne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matematičke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pojmove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16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https://www.ict-aac.hr/hr/aplikacije/edukativne-aplikacije/item/192-domino-brojalica</w:t>
        </w:r>
      </w:hyperlink>
    </w:p>
    <w:p w:rsidR="008F7DA9" w:rsidRPr="008F7DA9" w:rsidRDefault="008F7DA9" w:rsidP="008F7D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Matematički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vrtuljak</w:t>
      </w:r>
      <w:proofErr w:type="spellEnd"/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Kroz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igre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zadatke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djeca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razvijaju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logičko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razmišljanje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uspoređivanje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zbrajanje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oduzimanje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što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je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izvrstan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temelj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za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školsku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matematiku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hyperlink r:id="rId17" w:tgtFrame="_blank" w:history="1">
        <w:r w:rsidRPr="008F7DA9">
          <w:rPr>
            <w:rFonts w:ascii="Arial" w:eastAsia="Times New Roman" w:hAnsi="Arial" w:cs="Arial"/>
            <w:color w:val="1155CC"/>
            <w:kern w:val="0"/>
            <w:u w:val="single"/>
            <w:lang w:val="en-US"/>
            <w14:ligatures w14:val="none"/>
          </w:rPr>
          <w:t>https://www.ict-aac.hr/hr/aplikacije/edukativne-aplikacije/item/188-matematicki-vrtuljak</w:t>
        </w:r>
      </w:hyperlink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</w:p>
    <w:p w:rsidR="008F7DA9" w:rsidRDefault="008F7DA9" w:rsidP="008F7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Za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dodatne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informacije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ili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savjet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oko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odabira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aplikacije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prema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individualnim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potrebama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djeteta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slobodno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 mi se </w:t>
      </w:r>
      <w:proofErr w:type="spellStart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obratite</w:t>
      </w:r>
      <w:proofErr w:type="spellEnd"/>
      <w:r w:rsidRPr="008F7DA9"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.</w:t>
      </w:r>
    </w:p>
    <w:p w:rsidR="008F7DA9" w:rsidRPr="008F7DA9" w:rsidRDefault="008F7DA9" w:rsidP="008F7D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kern w:val="0"/>
          <w:lang w:val="en-US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Nikolina Herceg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Beljak</w:t>
      </w:r>
      <w:proofErr w:type="spellEnd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kern w:val="0"/>
          <w:lang w:val="en-US"/>
          <w14:ligatures w14:val="none"/>
        </w:rPr>
        <w:t>logoped</w:t>
      </w:r>
      <w:proofErr w:type="spellEnd"/>
    </w:p>
    <w:p w:rsidR="007A498F" w:rsidRPr="008F7DA9" w:rsidRDefault="007A498F">
      <w:pPr>
        <w:rPr>
          <w:lang w:val="en-US"/>
        </w:rPr>
      </w:pPr>
    </w:p>
    <w:sectPr w:rsidR="007A498F" w:rsidRPr="008F7D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C84"/>
    <w:multiLevelType w:val="multilevel"/>
    <w:tmpl w:val="4D04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748BD"/>
    <w:multiLevelType w:val="multilevel"/>
    <w:tmpl w:val="822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4AE5"/>
    <w:multiLevelType w:val="multilevel"/>
    <w:tmpl w:val="136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60CA9"/>
    <w:multiLevelType w:val="multilevel"/>
    <w:tmpl w:val="BADE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523090">
    <w:abstractNumId w:val="0"/>
  </w:num>
  <w:num w:numId="2" w16cid:durableId="1880555828">
    <w:abstractNumId w:val="2"/>
  </w:num>
  <w:num w:numId="3" w16cid:durableId="1674257256">
    <w:abstractNumId w:val="3"/>
  </w:num>
  <w:num w:numId="4" w16cid:durableId="203241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A9"/>
    <w:rsid w:val="00446ACF"/>
    <w:rsid w:val="004552BC"/>
    <w:rsid w:val="004F7CDE"/>
    <w:rsid w:val="00512282"/>
    <w:rsid w:val="00566CE3"/>
    <w:rsid w:val="007A498F"/>
    <w:rsid w:val="00837018"/>
    <w:rsid w:val="008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69D9"/>
  <w15:chartTrackingRefBased/>
  <w15:docId w15:val="{407F0E52-2C5F-47C8-8A0F-A587A3EE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DA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D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DA9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DA9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DA9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DA9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DA9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DA9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DA9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8F7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DA9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DA9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8F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DA9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8F7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D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DA9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8F7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-aac.hr/hr/aplikacije/edukativne-aplikacije/item/183-ciribu-ciriglas" TargetMode="External"/><Relationship Id="rId13" Type="http://schemas.openxmlformats.org/officeDocument/2006/relationships/hyperlink" Target="https://www.ict-aac.hr/hr/aplikacije/edukativne-aplikacije/item/90-ucimo-rijec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t-aac.hr/hr/aplikacije/edukativne-aplikacije/item/86-slovarica" TargetMode="External"/><Relationship Id="rId12" Type="http://schemas.openxmlformats.org/officeDocument/2006/relationships/hyperlink" Target="https://www.ict-aac.hr/hr/aplikacije/edukativne-aplikacije/item/190-jezicna-gradilica" TargetMode="External"/><Relationship Id="rId17" Type="http://schemas.openxmlformats.org/officeDocument/2006/relationships/hyperlink" Target="https://www.ict-aac.hr/hr/aplikacije/edukativne-aplikacije/item/188-matematicki-vrtulj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t-aac.hr/hr/aplikacije/edukativne-aplikacije/item/192-domini-brojal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ct-aac.hr/hr/aplikacije/edukativne-aplikacije/item/197-mala-glaskalica" TargetMode="External"/><Relationship Id="rId11" Type="http://schemas.openxmlformats.org/officeDocument/2006/relationships/hyperlink" Target="https://www.ict-aac.hr/hr/aplikacije/edukativne-aplikacije/item/91-ucimo-prijedloge" TargetMode="External"/><Relationship Id="rId5" Type="http://schemas.openxmlformats.org/officeDocument/2006/relationships/hyperlink" Target="https://www.ict-aac.hr/hr/aplikacije/edukativne-aplikacije/item/105-glaskalica" TargetMode="External"/><Relationship Id="rId15" Type="http://schemas.openxmlformats.org/officeDocument/2006/relationships/hyperlink" Target="https://www.ict-aac.hr/hr/aplikacije/edukativne-aplikacije/item/92-ucimo-slovove" TargetMode="External"/><Relationship Id="rId10" Type="http://schemas.openxmlformats.org/officeDocument/2006/relationships/hyperlink" Target="https://www.ict-aac.hr/hr/aplikacije/edukativne-aplikacije/item/182-pamtili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ct-aac.hr/hr/aplikacije/edukativne-aplikacije/item/93-ucimo-citati" TargetMode="External"/><Relationship Id="rId14" Type="http://schemas.openxmlformats.org/officeDocument/2006/relationships/hyperlink" Target="https://www.ict-aac.hr/hr/aplikacije/edukativne-aplikacije/item/196-pisal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2025-06-03T14:04:00Z</dcterms:created>
  <dcterms:modified xsi:type="dcterms:W3CDTF">2025-06-03T14:13:00Z</dcterms:modified>
</cp:coreProperties>
</file>